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14" w:rsidRPr="000D5014" w:rsidRDefault="003B484C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27AF5">
        <w:rPr>
          <w:rFonts w:ascii="Arial" w:hAnsi="Arial" w:cs="Arial"/>
          <w:sz w:val="20"/>
          <w:szCs w:val="20"/>
        </w:rPr>
        <w:br/>
      </w:r>
      <w:r w:rsidR="000D5014" w:rsidRPr="000D5014">
        <w:rPr>
          <w:rFonts w:ascii="Century Gothic" w:hAnsi="Century Gothic" w:cs="Arial"/>
          <w:color w:val="000000"/>
          <w:sz w:val="20"/>
          <w:szCs w:val="20"/>
        </w:rPr>
        <w:t>“Dogs2Care” laat vanwege de individuele uitlaat mogelijkheden in principe alle honden uit. Ongeacht welke</w:t>
      </w:r>
      <w:r w:rsidR="000D5014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0D5014" w:rsidRPr="000D5014">
        <w:rPr>
          <w:rFonts w:ascii="Century Gothic" w:hAnsi="Century Gothic" w:cs="Arial"/>
          <w:color w:val="000000"/>
          <w:sz w:val="20"/>
          <w:szCs w:val="20"/>
        </w:rPr>
        <w:t>kenmerken dan ook.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“Dogs2Care” kan te allen tijde zonder opgaaf van reden een hond weigeren.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De hond wordt bij u thuis of op het werk opgehaald en weer teruggebracht door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“Dogs2Care”.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De eigenaar van de hond zorgt ervoor dat de hond op de afgesproken plaats en tijdstip aanwezig is.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“Dogs2Care” kan indien gewenst in het bezit gesteld worden van een huissleutel. Hiervoor wordt een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sleutelcontract getekend.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Indien de klant geen sleutelcontract heeft en niet op afgesproken plaats en tijdstip aanwezig is, of lijkt te zijn,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waardoor de afspraak geen doorgang kan vinden, wordt de afspraak in rekening gebracht.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Wanneer een vaste uitlaattijd is overeengekomen, behoudt ”Dogs2Care” het recht om deze tijden, vanwege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planning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technische redenen, eenzijdig te wijzigen met maximaal 1 uur.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De eigenaar dient minimaal WA-verzekerd te zijn. Vraag na of uw hond is meeverzekerd. De eigenaar van de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hond blijft altijd zelf verantwoordelijk voor de daden van uw hond.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De verantwoordelijkheid voor de inentingen en het controleren op vlooien/teken liggen te allen tijde bij de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eigenaar. Dit geldt ook voor “preventief” behandelen bij vlooien/teken plus de bijbehorende kosten.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“Dogs2Care” kan niet aansprakelijk worden gesteld voor verlies van de hond en/of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toebehoren.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“Dogs2Care” spreekt van te voren met de eigenaar af of het mogelijk is om de hond los te laten lopen, of dat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er aangelijnd uitgelaten dient te worden.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De eigenaar dient aan te geven als de hond niet los mag lopen. Dit kan zijn bij een besmettelijke ziekte, als de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hond loops is, of andere redenen die actueel zijn. In dat geval laat “Dogs2Care” aangelijnd uit.</w:t>
      </w:r>
      <w:r w:rsidRPr="000D5014">
        <w:rPr>
          <w:rFonts w:ascii="Century Gothic" w:hAnsi="Century Gothic" w:cs="Arial"/>
          <w:color w:val="000000"/>
          <w:sz w:val="20"/>
          <w:szCs w:val="20"/>
        </w:rPr>
        <w:cr/>
      </w:r>
      <w:r w:rsidR="003B484C" w:rsidRPr="00027AF5">
        <w:rPr>
          <w:rFonts w:ascii="Century Gothic" w:hAnsi="Century Gothic" w:cs="Arial"/>
          <w:color w:val="000000"/>
          <w:sz w:val="20"/>
          <w:szCs w:val="20"/>
        </w:rPr>
        <w:br/>
      </w:r>
      <w:r w:rsidRPr="000D5014">
        <w:rPr>
          <w:rFonts w:ascii="Century Gothic" w:hAnsi="Century Gothic" w:cs="Arial"/>
          <w:color w:val="000000"/>
          <w:sz w:val="20"/>
          <w:szCs w:val="20"/>
        </w:rPr>
        <w:t>Mocht er iets gebeuren tijdens het uitlaten van uw hond dan heeft “Dogs2Care” het recht om naar de dichtstbij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zijnde dierenarts te gaan om uw hond te laten behandelen. De kosten zijn te allen tijden voor de eigenaar.</w:t>
      </w:r>
      <w:bookmarkStart w:id="0" w:name="_GoBack"/>
      <w:bookmarkEnd w:id="0"/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lastRenderedPageBreak/>
        <w:t>“Dogs2Care” kan niet aansprakelijk worden gesteld voor ziektes of verwondingen die uw hond op kan lopen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tijdens het uitlaten.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Bij schade door uw hond aan derden kan “Dogs2Care” niet aansprakelijk worden gesteld. . Dit geldt zowel voor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mens, dier als goederen.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De eigenaar van de hond accepteert dat de hond bij thuiskomst vies en nat kan zijn en treft hier zelf maatregelen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voor.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br/>
      </w:r>
      <w:r w:rsidRPr="000D5014">
        <w:rPr>
          <w:rFonts w:ascii="Century Gothic" w:hAnsi="Century Gothic" w:cs="Arial"/>
          <w:color w:val="000000"/>
          <w:sz w:val="20"/>
          <w:szCs w:val="20"/>
        </w:rPr>
        <w:t>Echter, “Dogs2Care”, laat de hond zo schoon en droog mogelijk in de woning achter. Hierbij wordt gebruik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gemaakt van de door de eigenaar beschikbaar gestelde middelen.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“Dogs2Care” kan niet aansprakelijk worden gesteld voor schade aan de woning en/of inboedel, veroorzaakt door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een natte en/of vieze hond.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“Dogs2Care”, kan niet aansprakelijk worden gesteld voor schade of inbraak in/aan de woning. Is dit echter te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wijten aan misbruik van de aan “Dogs2Care” beschikbaar gestelde sleutel of wel ernstige nalatigheid, dan dient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dit aantoonbaar worden gemaakt.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Uw hond dient in het bezit te zijn van een goede halsband en riem. Indien mogelijk (niet noodzakelijk) daaraan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een penning met naam, adres en telefoonnummer.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Strippenkaarten hebben een geldigheid van 1 jaar.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br/>
      </w:r>
      <w:r w:rsidRPr="000D5014">
        <w:rPr>
          <w:rFonts w:ascii="Century Gothic" w:hAnsi="Century Gothic" w:cs="Arial"/>
          <w:color w:val="000000"/>
          <w:sz w:val="20"/>
          <w:szCs w:val="20"/>
        </w:rPr>
        <w:t>Wanneer het tegoed van de strippenkaart bijna op is, attendeert “Dogs2Care” de klant hierop. De klant kan tijdig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een nieuw tegoed bestellen. Er vindt geen automatische verlenging plaats.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Abonnementen hebben een geldigheid van 1 maand.</w:t>
      </w:r>
      <w:r>
        <w:rPr>
          <w:rFonts w:ascii="Century Gothic" w:hAnsi="Century Gothic" w:cs="Arial"/>
          <w:color w:val="000000"/>
          <w:sz w:val="20"/>
          <w:szCs w:val="20"/>
        </w:rPr>
        <w:br/>
      </w:r>
      <w:r w:rsidRPr="000D5014">
        <w:rPr>
          <w:rFonts w:ascii="Century Gothic" w:hAnsi="Century Gothic" w:cs="Arial"/>
          <w:color w:val="000000"/>
          <w:sz w:val="20"/>
          <w:szCs w:val="20"/>
        </w:rPr>
        <w:t>Een gekozen abonnement wordt aan het einde van de looptijd automatisch stilzwijgend verlengd, tenzij de klant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tijdig heeft aangegeven deze te willen beëindigen. Hierbij wordt een opzegtermijn van minimaal 1 maand voor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het aflopen van het abonnement gehanteerd.</w:t>
      </w:r>
    </w:p>
    <w:p w:rsid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Indien u zelf besluit te stoppen met “Dogs2Care” is geen teruggave van gelden mogelijk. Dit geldt voor zowel het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 xml:space="preserve">abonnement als de strippenkaart. 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De betaling dient vooraf te gebeuren.</w:t>
      </w:r>
      <w:r>
        <w:rPr>
          <w:rFonts w:ascii="Century Gothic" w:hAnsi="Century Gothic" w:cs="Arial"/>
          <w:color w:val="000000"/>
          <w:sz w:val="20"/>
          <w:szCs w:val="20"/>
        </w:rPr>
        <w:br/>
      </w:r>
      <w:r w:rsidRPr="000D5014">
        <w:rPr>
          <w:rFonts w:ascii="Century Gothic" w:hAnsi="Century Gothic" w:cs="Arial"/>
          <w:color w:val="000000"/>
          <w:sz w:val="20"/>
          <w:szCs w:val="20"/>
        </w:rPr>
        <w:t>Bij gebruik van een abonnement of strippenkaart van “Dogs2Care” dient de betaling uiterlijk op de eerste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wandel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dag van het desbetreffende abonnement of strippenkaart te worden voldaan, tenzij anders is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overeengekomen.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Op weekend en feestdagen geldt een toeslag op het tarief van 20%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Wanneer betaling achterwege blijft, kunnen administratiekosten in rekening worden gebracht. De hoogte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hiervan is 20% van het totale openstaande bedrag.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lastRenderedPageBreak/>
        <w:t>Bij herhaaldelijke wanbetaling zal “Dogs2Care” de overeenkomst ontbinden.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Annuleren van een wandeling kan tot uiterlijk 24 uur voorafgaand aan de betreffende wandeling.</w:t>
      </w:r>
      <w:r>
        <w:rPr>
          <w:rFonts w:ascii="Century Gothic" w:hAnsi="Century Gothic" w:cs="Arial"/>
          <w:color w:val="000000"/>
          <w:sz w:val="20"/>
          <w:szCs w:val="20"/>
        </w:rPr>
        <w:br/>
      </w:r>
      <w:r w:rsidRPr="000D5014">
        <w:rPr>
          <w:rFonts w:ascii="Century Gothic" w:hAnsi="Century Gothic" w:cs="Arial"/>
          <w:color w:val="000000"/>
          <w:sz w:val="20"/>
          <w:szCs w:val="20"/>
        </w:rPr>
        <w:t>In geval van de strippenkaart worden tijdig geannuleerde wandelingen niet in rekening gebracht.</w:t>
      </w:r>
      <w:r>
        <w:rPr>
          <w:rFonts w:ascii="Century Gothic" w:hAnsi="Century Gothic" w:cs="Arial"/>
          <w:color w:val="000000"/>
          <w:sz w:val="20"/>
          <w:szCs w:val="20"/>
        </w:rPr>
        <w:br/>
      </w:r>
      <w:r w:rsidRPr="000D5014">
        <w:rPr>
          <w:rFonts w:ascii="Century Gothic" w:hAnsi="Century Gothic" w:cs="Arial"/>
          <w:color w:val="000000"/>
          <w:sz w:val="20"/>
          <w:szCs w:val="20"/>
        </w:rPr>
        <w:t>In geval van het abonnement vind geen restitutie plaats, maar kan de niet genoten uitlaat binnen 2 maanden,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op basis van beschikbaarheid, elders worden ingepland.</w:t>
      </w:r>
      <w:r>
        <w:rPr>
          <w:rFonts w:ascii="Century Gothic" w:hAnsi="Century Gothic" w:cs="Arial"/>
          <w:color w:val="000000"/>
          <w:sz w:val="20"/>
          <w:szCs w:val="20"/>
        </w:rPr>
        <w:br/>
      </w:r>
      <w:r w:rsidRPr="000D5014">
        <w:rPr>
          <w:rFonts w:ascii="Century Gothic" w:hAnsi="Century Gothic" w:cs="Arial"/>
          <w:color w:val="000000"/>
          <w:sz w:val="20"/>
          <w:szCs w:val="20"/>
        </w:rPr>
        <w:t>Uitzondering hierop is een aangesloten vakantieperiode van 14 dagen of meer.</w:t>
      </w:r>
      <w:r>
        <w:rPr>
          <w:rFonts w:ascii="Century Gothic" w:hAnsi="Century Gothic" w:cs="Arial"/>
          <w:color w:val="000000"/>
          <w:sz w:val="20"/>
          <w:szCs w:val="20"/>
        </w:rPr>
        <w:br/>
      </w:r>
      <w:r w:rsidRPr="000D5014">
        <w:rPr>
          <w:rFonts w:ascii="Century Gothic" w:hAnsi="Century Gothic" w:cs="Arial"/>
          <w:color w:val="000000"/>
          <w:sz w:val="20"/>
          <w:szCs w:val="20"/>
        </w:rPr>
        <w:t>In die gevallen is restitutie mogelijk.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Wanneer de klant tijdens vakanties de uitlaatservice wenst stop te zetten, dan dient deze dit zo spoedig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mogelijk, doch uiterlijk 1 maand van te voren door te geven aan “Dogs2Care”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Overige voorwaarden die gelden voor Strippenkaart en/of abonnement staan vermeld op de tarievenlijst.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“Dogs2Care” houdt het recht de opdracht tijdelijk op non actief te zetten in verband met vakantie/ziekte.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Vakanties dienen uiterlijk 2 weken van tevoren bekend gemaakt te worden aan de klant. In geval van ziekte of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overmacht komt de uitlaatservice voor die dagen noodzakelijkerwijs te vervallen.</w:t>
      </w:r>
    </w:p>
    <w:p w:rsidR="000D5014" w:rsidRPr="000D5014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Tussen “Dogs2Care” en de klant wordt een overeenkomst afgesloten waarin wordt gerefereerd naar de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5014">
        <w:rPr>
          <w:rFonts w:ascii="Century Gothic" w:hAnsi="Century Gothic" w:cs="Arial"/>
          <w:color w:val="000000"/>
          <w:sz w:val="20"/>
          <w:szCs w:val="20"/>
        </w:rPr>
        <w:t>algemene voorwaarden.</w:t>
      </w:r>
    </w:p>
    <w:p w:rsidR="00BA7D9F" w:rsidRPr="00027AF5" w:rsidRDefault="000D5014" w:rsidP="000D5014">
      <w:pPr>
        <w:pStyle w:val="Normaalweb"/>
        <w:rPr>
          <w:rFonts w:ascii="Century Gothic" w:hAnsi="Century Gothic" w:cs="Arial"/>
          <w:color w:val="000000"/>
          <w:sz w:val="20"/>
          <w:szCs w:val="20"/>
        </w:rPr>
      </w:pPr>
      <w:r w:rsidRPr="000D5014">
        <w:rPr>
          <w:rFonts w:ascii="Century Gothic" w:hAnsi="Century Gothic" w:cs="Arial"/>
          <w:color w:val="000000"/>
          <w:sz w:val="20"/>
          <w:szCs w:val="20"/>
        </w:rPr>
        <w:t>“Dogs2Care” behoud zich het recht de algemene voorwaarden en de tarieven te wijzigen</w:t>
      </w:r>
    </w:p>
    <w:sectPr w:rsidR="00BA7D9F" w:rsidRPr="00027AF5" w:rsidSect="00605AC2">
      <w:headerReference w:type="default" r:id="rId7"/>
      <w:footerReference w:type="default" r:id="rId8"/>
      <w:pgSz w:w="11906" w:h="16838"/>
      <w:pgMar w:top="1364" w:right="1417" w:bottom="1135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A75" w:rsidRDefault="00C56A75" w:rsidP="0060554A">
      <w:r>
        <w:separator/>
      </w:r>
    </w:p>
  </w:endnote>
  <w:endnote w:type="continuationSeparator" w:id="0">
    <w:p w:rsidR="00C56A75" w:rsidRDefault="00C56A75" w:rsidP="0060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54A" w:rsidRPr="00990060" w:rsidRDefault="0060554A">
    <w:pPr>
      <w:pStyle w:val="Voettekst"/>
      <w:rPr>
        <w:color w:val="33CCCC"/>
      </w:rPr>
    </w:pPr>
  </w:p>
  <w:p w:rsidR="0060554A" w:rsidRPr="00990060" w:rsidRDefault="00044ABF" w:rsidP="0060554A">
    <w:pPr>
      <w:pStyle w:val="Duidelijkcitaat"/>
      <w:jc w:val="center"/>
      <w:rPr>
        <w:color w:val="33CCCC"/>
      </w:rPr>
    </w:pPr>
    <w:r w:rsidRPr="00990060">
      <w:rPr>
        <w:color w:val="33CCCC"/>
      </w:rPr>
      <w:t>Dogs2Care</w:t>
    </w:r>
  </w:p>
  <w:p w:rsidR="00044ABF" w:rsidRPr="00990060" w:rsidRDefault="00044ABF" w:rsidP="00044ABF">
    <w:pPr>
      <w:pStyle w:val="Citaat"/>
      <w:jc w:val="center"/>
      <w:rPr>
        <w:color w:val="33CCCC"/>
      </w:rPr>
    </w:pPr>
    <w:r w:rsidRPr="00990060">
      <w:rPr>
        <w:color w:val="33CCCC"/>
      </w:rPr>
      <w:t>Nieuwlandstraat 106. 2729DW. Zoetermeer. Tel: 0628409579.  KvK: 51932717. www.dogs2care.nl  BTW-ID: NL002041857B10 / IBAN: NL45INGB0006011852</w:t>
    </w:r>
  </w:p>
  <w:p w:rsidR="0060554A" w:rsidRDefault="006055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A75" w:rsidRDefault="00C56A75" w:rsidP="0060554A">
      <w:r>
        <w:separator/>
      </w:r>
    </w:p>
  </w:footnote>
  <w:footnote w:type="continuationSeparator" w:id="0">
    <w:p w:rsidR="00C56A75" w:rsidRDefault="00C56A75" w:rsidP="0060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54A" w:rsidRDefault="00990060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39.6pt;margin-top:8.55pt;width:218.8pt;height:24.6pt;z-index:251661312;mso-width-relative:margin;mso-height-relative:margin" strokecolor="white [3212]">
          <v:textbox>
            <w:txbxContent>
              <w:p w:rsidR="0060554A" w:rsidRPr="001D7DE2" w:rsidRDefault="0060554A" w:rsidP="0060554A">
                <w:pPr>
                  <w:pStyle w:val="Normaalweb"/>
                  <w:spacing w:line="355" w:lineRule="atLeast"/>
                  <w:rPr>
                    <w:rFonts w:ascii="Century Gothic" w:hAnsi="Century Gothic"/>
                    <w:b/>
                    <w:sz w:val="20"/>
                    <w:szCs w:val="20"/>
                    <w:u w:val="single"/>
                  </w:rPr>
                </w:pPr>
                <w:r w:rsidRPr="001D7DE2">
                  <w:rPr>
                    <w:rFonts w:ascii="Century Gothic" w:hAnsi="Century Gothic"/>
                    <w:b/>
                    <w:sz w:val="20"/>
                    <w:szCs w:val="20"/>
                    <w:u w:val="single"/>
                  </w:rPr>
                  <w:t>Dogs2Care Algemene Voorwaarden</w:t>
                </w:r>
              </w:p>
              <w:p w:rsidR="0060554A" w:rsidRDefault="0060554A"/>
            </w:txbxContent>
          </v:textbox>
        </v:shape>
      </w:pict>
    </w:r>
  </w:p>
  <w:p w:rsidR="0060554A" w:rsidRDefault="00A87CB8">
    <w:pPr>
      <w:pStyle w:val="Koptekst"/>
    </w:pPr>
    <w:r>
      <w:rPr>
        <w:noProof/>
        <w:lang w:eastAsia="nl-NL"/>
      </w:rPr>
      <w:drawing>
        <wp:inline distT="0" distB="0" distL="0" distR="0">
          <wp:extent cx="1990725" cy="1407512"/>
          <wp:effectExtent l="19050" t="0" r="0" b="0"/>
          <wp:docPr id="1" name="Afbeelding 1" descr="K:\Dog2Care\logo\dog2carelogo.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g2Care\logo\dog2carelogo.achtergro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431" cy="14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D78"/>
    <w:rsid w:val="00027AF5"/>
    <w:rsid w:val="00044ABF"/>
    <w:rsid w:val="0005196E"/>
    <w:rsid w:val="000A42EE"/>
    <w:rsid w:val="000B067B"/>
    <w:rsid w:val="000D5014"/>
    <w:rsid w:val="000E4AD0"/>
    <w:rsid w:val="00121BA9"/>
    <w:rsid w:val="001D7043"/>
    <w:rsid w:val="001D7DE2"/>
    <w:rsid w:val="00291EEA"/>
    <w:rsid w:val="002B7D78"/>
    <w:rsid w:val="003B484C"/>
    <w:rsid w:val="003E71CB"/>
    <w:rsid w:val="004265B7"/>
    <w:rsid w:val="00584E56"/>
    <w:rsid w:val="005C1738"/>
    <w:rsid w:val="005C699A"/>
    <w:rsid w:val="005C7E0A"/>
    <w:rsid w:val="005F62FE"/>
    <w:rsid w:val="0060554A"/>
    <w:rsid w:val="00605AC2"/>
    <w:rsid w:val="006A49C9"/>
    <w:rsid w:val="00745E94"/>
    <w:rsid w:val="00786DDA"/>
    <w:rsid w:val="00837276"/>
    <w:rsid w:val="00890946"/>
    <w:rsid w:val="008A085D"/>
    <w:rsid w:val="00950CBC"/>
    <w:rsid w:val="00990060"/>
    <w:rsid w:val="009A302D"/>
    <w:rsid w:val="009C4F86"/>
    <w:rsid w:val="009E6C4B"/>
    <w:rsid w:val="00A11211"/>
    <w:rsid w:val="00A87CB8"/>
    <w:rsid w:val="00AF77CD"/>
    <w:rsid w:val="00B322CC"/>
    <w:rsid w:val="00B54CD8"/>
    <w:rsid w:val="00B56B88"/>
    <w:rsid w:val="00B86D95"/>
    <w:rsid w:val="00BA7D9F"/>
    <w:rsid w:val="00BB3C49"/>
    <w:rsid w:val="00C46AF2"/>
    <w:rsid w:val="00C56A75"/>
    <w:rsid w:val="00CB45B0"/>
    <w:rsid w:val="00D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1D501926"/>
  <w15:docId w15:val="{7E57EB9D-4C05-4772-9DC9-595E1F39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A7D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E4A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19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196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055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554A"/>
  </w:style>
  <w:style w:type="paragraph" w:styleId="Voettekst">
    <w:name w:val="footer"/>
    <w:basedOn w:val="Standaard"/>
    <w:link w:val="VoettekstChar"/>
    <w:uiPriority w:val="99"/>
    <w:unhideWhenUsed/>
    <w:rsid w:val="006055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554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55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554A"/>
    <w:rPr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60554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0554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46EF11-0F5A-40C2-811F-B407DD71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</dc:creator>
  <cp:lastModifiedBy>Oosterbaan, Marcel</cp:lastModifiedBy>
  <cp:revision>12</cp:revision>
  <cp:lastPrinted>2011-11-17T15:00:00Z</cp:lastPrinted>
  <dcterms:created xsi:type="dcterms:W3CDTF">2011-11-17T14:03:00Z</dcterms:created>
  <dcterms:modified xsi:type="dcterms:W3CDTF">2020-04-01T10:34:00Z</dcterms:modified>
</cp:coreProperties>
</file>